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C9" w:rsidRPr="002C118D" w:rsidRDefault="00471CC9" w:rsidP="00471CC9">
      <w:pPr>
        <w:jc w:val="center"/>
        <w:rPr>
          <w:b/>
          <w:sz w:val="22"/>
          <w:szCs w:val="22"/>
          <w:lang w:val="lv-LV"/>
        </w:rPr>
      </w:pPr>
      <w:r w:rsidRPr="002C118D">
        <w:rPr>
          <w:b/>
          <w:sz w:val="22"/>
          <w:szCs w:val="22"/>
          <w:lang w:val="lv-LV"/>
        </w:rPr>
        <w:t xml:space="preserve">IEPIRKUMA </w:t>
      </w:r>
      <w:smartTag w:uri="schemas-tilde-lv/tildestengine" w:element="veidnes">
        <w:smartTagPr>
          <w:attr w:name="text" w:val="LĪGUMS"/>
          <w:attr w:name="baseform" w:val="LĪGUMS"/>
          <w:attr w:name="id" w:val="-1"/>
        </w:smartTagPr>
        <w:r w:rsidRPr="002C118D">
          <w:rPr>
            <w:b/>
            <w:sz w:val="22"/>
            <w:szCs w:val="22"/>
            <w:lang w:val="lv-LV"/>
          </w:rPr>
          <w:t>LĪGUMS</w:t>
        </w:r>
      </w:smartTag>
      <w:r w:rsidRPr="002C118D">
        <w:rPr>
          <w:b/>
          <w:sz w:val="22"/>
          <w:szCs w:val="22"/>
          <w:lang w:val="lv-LV"/>
        </w:rPr>
        <w:t xml:space="preserve"> Nr.</w:t>
      </w:r>
      <w:r>
        <w:rPr>
          <w:b/>
          <w:sz w:val="22"/>
          <w:szCs w:val="22"/>
          <w:lang w:val="lv-LV"/>
        </w:rPr>
        <w:t xml:space="preserve"> RC „Rāzna” </w:t>
      </w:r>
      <w:r w:rsidRPr="002C118D">
        <w:rPr>
          <w:b/>
          <w:sz w:val="22"/>
          <w:szCs w:val="22"/>
          <w:lang w:val="lv-LV"/>
        </w:rPr>
        <w:t>2014/03/</w:t>
      </w:r>
      <w:r>
        <w:rPr>
          <w:b/>
          <w:sz w:val="22"/>
          <w:szCs w:val="22"/>
          <w:lang w:val="lv-LV"/>
        </w:rPr>
        <w:t>1</w:t>
      </w:r>
    </w:p>
    <w:p w:rsidR="00471CC9" w:rsidRPr="002C118D" w:rsidRDefault="00471CC9" w:rsidP="00471CC9">
      <w:pPr>
        <w:jc w:val="center"/>
        <w:rPr>
          <w:b/>
          <w:sz w:val="22"/>
          <w:szCs w:val="22"/>
          <w:lang w:val="lv-LV"/>
        </w:rPr>
      </w:pPr>
    </w:p>
    <w:p w:rsidR="00471CC9" w:rsidRPr="002C118D" w:rsidRDefault="00471CC9" w:rsidP="00471CC9">
      <w:pPr>
        <w:jc w:val="both"/>
        <w:rPr>
          <w:b/>
          <w:sz w:val="22"/>
          <w:szCs w:val="22"/>
          <w:lang w:val="lv-LV"/>
        </w:rPr>
      </w:pPr>
    </w:p>
    <w:p w:rsidR="00471CC9" w:rsidRPr="002C118D" w:rsidRDefault="00471CC9" w:rsidP="00471CC9">
      <w:pPr>
        <w:pStyle w:val="BodyTextIndent2"/>
        <w:spacing w:line="240" w:lineRule="auto"/>
        <w:jc w:val="both"/>
        <w:rPr>
          <w:sz w:val="22"/>
          <w:szCs w:val="22"/>
          <w:lang w:val="lv-LV"/>
        </w:rPr>
      </w:pPr>
      <w:r w:rsidRPr="002C118D">
        <w:rPr>
          <w:sz w:val="22"/>
          <w:szCs w:val="22"/>
          <w:lang w:val="lv-LV"/>
        </w:rPr>
        <w:t>Rēzeknes novada Lūznavas pagastā</w:t>
      </w:r>
      <w:r w:rsidRPr="002C118D">
        <w:rPr>
          <w:sz w:val="22"/>
          <w:szCs w:val="22"/>
          <w:lang w:val="lv-LV"/>
        </w:rPr>
        <w:tab/>
      </w:r>
      <w:r w:rsidRPr="002C118D">
        <w:rPr>
          <w:sz w:val="22"/>
          <w:szCs w:val="22"/>
          <w:lang w:val="lv-LV"/>
        </w:rPr>
        <w:tab/>
      </w:r>
      <w:r w:rsidRPr="002C118D">
        <w:rPr>
          <w:sz w:val="22"/>
          <w:szCs w:val="22"/>
          <w:lang w:val="lv-LV"/>
        </w:rPr>
        <w:tab/>
      </w:r>
      <w:r w:rsidRPr="002C118D">
        <w:rPr>
          <w:sz w:val="22"/>
          <w:szCs w:val="22"/>
          <w:lang w:val="lv-LV"/>
        </w:rPr>
        <w:tab/>
        <w:t xml:space="preserve">         </w:t>
      </w:r>
      <w:r>
        <w:rPr>
          <w:sz w:val="22"/>
          <w:szCs w:val="22"/>
          <w:lang w:val="lv-LV"/>
        </w:rPr>
        <w:t xml:space="preserve">                    </w:t>
      </w:r>
      <w:r w:rsidRPr="002C118D">
        <w:rPr>
          <w:sz w:val="22"/>
          <w:szCs w:val="22"/>
          <w:lang w:val="lv-LV"/>
        </w:rPr>
        <w:t xml:space="preserve">2014.gada </w:t>
      </w:r>
      <w:r>
        <w:rPr>
          <w:sz w:val="22"/>
          <w:szCs w:val="22"/>
          <w:lang w:val="lv-LV"/>
        </w:rPr>
        <w:t>02.jūlijā</w:t>
      </w:r>
    </w:p>
    <w:p w:rsidR="00471CC9" w:rsidRDefault="00471CC9" w:rsidP="00471CC9">
      <w:pPr>
        <w:pStyle w:val="BodyTextIndent2"/>
        <w:spacing w:line="240" w:lineRule="auto"/>
        <w:ind w:firstLine="567"/>
        <w:jc w:val="both"/>
        <w:rPr>
          <w:b/>
          <w:sz w:val="22"/>
          <w:szCs w:val="22"/>
          <w:lang w:val="lv-LV"/>
        </w:rPr>
      </w:pPr>
    </w:p>
    <w:p w:rsidR="00471CC9" w:rsidRPr="002C118D" w:rsidRDefault="00471CC9" w:rsidP="00471CC9">
      <w:pPr>
        <w:pStyle w:val="BodyTextIndent2"/>
        <w:spacing w:line="240" w:lineRule="auto"/>
        <w:ind w:firstLine="567"/>
        <w:jc w:val="both"/>
        <w:rPr>
          <w:sz w:val="22"/>
          <w:szCs w:val="22"/>
          <w:lang w:val="lv-LV"/>
        </w:rPr>
      </w:pPr>
      <w:r w:rsidRPr="002C118D">
        <w:rPr>
          <w:b/>
          <w:sz w:val="22"/>
          <w:szCs w:val="22"/>
          <w:lang w:val="lv-LV"/>
        </w:rPr>
        <w:t xml:space="preserve">Sabiedrība ar ierobežotu atbildību “REHABILITĀCIJAS CENTRS “RĀZNA” </w:t>
      </w:r>
      <w:r w:rsidRPr="002C118D">
        <w:rPr>
          <w:sz w:val="22"/>
          <w:szCs w:val="22"/>
          <w:lang w:val="lv-LV"/>
        </w:rPr>
        <w:t xml:space="preserve">vienotais reģistrācijas Nr. 40003275348, valdes locekles </w:t>
      </w:r>
      <w:r w:rsidRPr="002C118D">
        <w:rPr>
          <w:b/>
          <w:bCs/>
          <w:sz w:val="22"/>
          <w:szCs w:val="22"/>
          <w:lang w:val="lv-LV"/>
        </w:rPr>
        <w:t xml:space="preserve">Diānas Gavares-Karpovas </w:t>
      </w:r>
      <w:r w:rsidRPr="002C118D">
        <w:rPr>
          <w:sz w:val="22"/>
          <w:szCs w:val="22"/>
          <w:lang w:val="lv-LV"/>
        </w:rPr>
        <w:t xml:space="preserve">personā, kura darbojas uz statūtu pamata, turpmāk tekstā „Pircējs”, no vienas puses, un </w:t>
      </w:r>
    </w:p>
    <w:p w:rsidR="00471CC9" w:rsidRPr="002C118D" w:rsidRDefault="00471CC9" w:rsidP="00471CC9">
      <w:pPr>
        <w:pStyle w:val="BodyTextIndent2"/>
        <w:spacing w:line="240" w:lineRule="auto"/>
        <w:ind w:firstLine="567"/>
        <w:jc w:val="both"/>
        <w:rPr>
          <w:sz w:val="22"/>
          <w:szCs w:val="22"/>
          <w:lang w:val="lv-LV"/>
        </w:rPr>
      </w:pPr>
      <w:r w:rsidRPr="002C118D">
        <w:rPr>
          <w:b/>
          <w:sz w:val="22"/>
          <w:szCs w:val="22"/>
          <w:lang w:val="lv-LV"/>
        </w:rPr>
        <w:t xml:space="preserve">Sabiedrība ar ierobežotu </w:t>
      </w:r>
      <w:r w:rsidRPr="00471CC9">
        <w:rPr>
          <w:b/>
          <w:sz w:val="22"/>
          <w:szCs w:val="22"/>
          <w:lang w:val="lv-LV"/>
        </w:rPr>
        <w:t>atbildību „AKVARIUS”</w:t>
      </w:r>
      <w:r w:rsidRPr="002C118D">
        <w:rPr>
          <w:sz w:val="22"/>
          <w:szCs w:val="22"/>
          <w:lang w:val="lv-LV"/>
        </w:rPr>
        <w:t xml:space="preserve">, reģ. Nr. </w:t>
      </w:r>
      <w:r>
        <w:rPr>
          <w:sz w:val="22"/>
          <w:szCs w:val="22"/>
          <w:lang w:val="lv-LV"/>
        </w:rPr>
        <w:t>40103031530</w:t>
      </w:r>
      <w:r w:rsidRPr="002C118D">
        <w:rPr>
          <w:sz w:val="22"/>
          <w:szCs w:val="22"/>
          <w:lang w:val="lv-LV"/>
        </w:rPr>
        <w:t xml:space="preserve"> turpmāk tekstā „Pārdevējs”, kuru saskaņā ar </w:t>
      </w:r>
      <w:r>
        <w:rPr>
          <w:sz w:val="22"/>
          <w:szCs w:val="22"/>
          <w:lang w:val="lv-LV"/>
        </w:rPr>
        <w:t>statūtiem</w:t>
      </w:r>
      <w:r w:rsidRPr="002C118D">
        <w:rPr>
          <w:sz w:val="22"/>
          <w:szCs w:val="22"/>
          <w:lang w:val="lv-LV"/>
        </w:rPr>
        <w:t xml:space="preserve"> pārstāv </w:t>
      </w:r>
      <w:r>
        <w:rPr>
          <w:sz w:val="22"/>
          <w:szCs w:val="22"/>
          <w:lang w:val="lv-LV"/>
        </w:rPr>
        <w:t xml:space="preserve">valdes loceklis </w:t>
      </w:r>
      <w:r w:rsidRPr="00471CC9">
        <w:rPr>
          <w:b/>
          <w:sz w:val="22"/>
          <w:szCs w:val="22"/>
          <w:lang w:val="lv-LV"/>
        </w:rPr>
        <w:t>Andrejs Drozdovs</w:t>
      </w:r>
      <w:r w:rsidRPr="002C118D">
        <w:rPr>
          <w:sz w:val="22"/>
          <w:szCs w:val="22"/>
          <w:lang w:val="lv-LV"/>
        </w:rPr>
        <w:t xml:space="preserve">, no otras puses, abi kopā un katrs atsevišķi turpmāk saukti „Puses”, pamatojoties uz iepirkuma “Akmeņogļu piegāde SIA “Rehabilitācijas centrs “Rāzna”” vajadzībām”, identifikācijas Nr. </w:t>
      </w:r>
      <w:r w:rsidRPr="00980B57">
        <w:rPr>
          <w:sz w:val="22"/>
          <w:szCs w:val="22"/>
          <w:lang w:val="lv-LV"/>
        </w:rPr>
        <w:t>RC ”Rāzna” 2014/03</w:t>
      </w:r>
      <w:r w:rsidRPr="002C118D">
        <w:rPr>
          <w:sz w:val="22"/>
          <w:szCs w:val="22"/>
          <w:lang w:val="lv-LV"/>
        </w:rPr>
        <w:t>, turpmāk tekstā “Iepirkums”, rezultātiem, bez viltus, maldiem vai spaidiem, noslēdz šādu līgumu, turpmāk tekstā „</w:t>
      </w:r>
      <w:smartTag w:uri="schemas-tilde-lv/tildestengine" w:element="veidnes">
        <w:smartTagPr>
          <w:attr w:name="text" w:val="LĪGUMS"/>
          <w:attr w:name="id" w:val="-1"/>
          <w:attr w:name="baseform" w:val="līgum|s"/>
        </w:smartTagPr>
        <w:r w:rsidRPr="002C118D">
          <w:rPr>
            <w:sz w:val="22"/>
            <w:szCs w:val="22"/>
            <w:lang w:val="lv-LV"/>
          </w:rPr>
          <w:t>Līgums</w:t>
        </w:r>
      </w:smartTag>
      <w:r w:rsidRPr="002C118D">
        <w:rPr>
          <w:sz w:val="22"/>
          <w:szCs w:val="22"/>
          <w:lang w:val="lv-LV"/>
        </w:rPr>
        <w:t>”:</w:t>
      </w:r>
    </w:p>
    <w:p w:rsidR="00471CC9" w:rsidRPr="002C118D" w:rsidRDefault="00471CC9" w:rsidP="00471CC9">
      <w:pPr>
        <w:pStyle w:val="BodyTextIndent2"/>
        <w:spacing w:line="240" w:lineRule="auto"/>
        <w:ind w:firstLine="567"/>
        <w:jc w:val="both"/>
        <w:rPr>
          <w:sz w:val="22"/>
          <w:szCs w:val="22"/>
          <w:lang w:val="lv-LV"/>
        </w:rPr>
      </w:pPr>
    </w:p>
    <w:p w:rsidR="00471CC9" w:rsidRPr="002C118D" w:rsidRDefault="00471CC9" w:rsidP="00471CC9">
      <w:pPr>
        <w:widowControl w:val="0"/>
        <w:numPr>
          <w:ilvl w:val="0"/>
          <w:numId w:val="1"/>
        </w:numPr>
        <w:autoSpaceDE w:val="0"/>
        <w:autoSpaceDN w:val="0"/>
        <w:adjustRightInd w:val="0"/>
        <w:spacing w:before="120" w:after="120"/>
        <w:ind w:left="284" w:hanging="284"/>
        <w:jc w:val="both"/>
        <w:rPr>
          <w:b/>
          <w:sz w:val="22"/>
          <w:szCs w:val="22"/>
          <w:lang w:val="lv-LV"/>
        </w:rPr>
      </w:pPr>
      <w:r w:rsidRPr="002C118D">
        <w:rPr>
          <w:b/>
          <w:sz w:val="22"/>
          <w:szCs w:val="22"/>
          <w:lang w:val="lv-LV"/>
        </w:rPr>
        <w:t>LĪGUMA PRIEKŠMETS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Pasūtītājs pērk un Piegādātājs pārdod un piegādā tam piederošas akmeņogles, turpmāk tekstā – „Prece”, saskaņā ar šī Līguma noteikumiem un Iepirkumam iesniegto Pārdevēja Tehnisko un Finanšu piedāvājumu (Līguma 1., 2.pielikums).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Līguma 1.pielikumā noteiktais Preces daudzums Līguma darbības laikā var mainīties atkarībā no Pircēja darbību ietekmējošiem apstākļiem.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Pircējam ir tiesības samazināt Līguma 1.pielikumā minēto Preces daudzumu un Pārdevējam nav tiesību pieprasīt, lai Pircējs Līguma darbības laikā nopirktu un apmaksātu Preces Līguma 1., 2.pielikumā noteiktajā piegādes daudzumā.</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Līgums stājas spēkā no tā parakstīš</w:t>
      </w:r>
      <w:r>
        <w:rPr>
          <w:sz w:val="22"/>
          <w:szCs w:val="22"/>
          <w:lang w:val="lv-LV"/>
        </w:rPr>
        <w:t>anas brīža un darbojas līdz 2015</w:t>
      </w:r>
      <w:r w:rsidRPr="002C118D">
        <w:rPr>
          <w:sz w:val="22"/>
          <w:szCs w:val="22"/>
          <w:lang w:val="lv-LV"/>
        </w:rPr>
        <w:t xml:space="preserve">.gada </w:t>
      </w:r>
      <w:r>
        <w:rPr>
          <w:sz w:val="22"/>
          <w:szCs w:val="22"/>
          <w:lang w:val="lv-LV"/>
        </w:rPr>
        <w:t>01.jūlijam</w:t>
      </w:r>
      <w:r w:rsidRPr="002C118D">
        <w:rPr>
          <w:sz w:val="22"/>
          <w:szCs w:val="22"/>
          <w:lang w:val="lv-LV"/>
        </w:rPr>
        <w:t>, bet finanšu norēķinu daļā – līdz pilnīgai saistību izpildei.</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sz w:val="22"/>
          <w:szCs w:val="22"/>
          <w:lang w:val="lv-LV"/>
        </w:rPr>
      </w:pPr>
      <w:r w:rsidRPr="002C118D">
        <w:rPr>
          <w:b/>
          <w:sz w:val="22"/>
          <w:szCs w:val="22"/>
          <w:lang w:val="lv-LV"/>
        </w:rPr>
        <w:t>PUŠU PIENĀKUMI UN TIESĪBAS</w:t>
      </w:r>
    </w:p>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apņemas:</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Piegādāt Preci Pircējam ar savu transpo</w:t>
      </w:r>
      <w:r>
        <w:rPr>
          <w:sz w:val="22"/>
          <w:szCs w:val="22"/>
          <w:lang w:val="lv-LV"/>
        </w:rPr>
        <w:t>r</w:t>
      </w:r>
      <w:r w:rsidRPr="002C118D">
        <w:rPr>
          <w:sz w:val="22"/>
          <w:szCs w:val="22"/>
          <w:lang w:val="lv-LV"/>
        </w:rPr>
        <w:t>tu</w:t>
      </w:r>
      <w:r>
        <w:rPr>
          <w:sz w:val="22"/>
          <w:szCs w:val="22"/>
          <w:lang w:val="lv-LV"/>
        </w:rPr>
        <w:t>, kura kopējais svars nevar būt lielāks par 30 tonnām,</w:t>
      </w:r>
      <w:r w:rsidRPr="002C118D">
        <w:rPr>
          <w:sz w:val="22"/>
          <w:szCs w:val="22"/>
          <w:lang w:val="lv-LV"/>
        </w:rPr>
        <w:t xml:space="preserve"> uz sava rēķina, atbilstoši Preces uzglabāšanas un transportēšanas noteikumiem;</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nodrošināt Precei nemainīgu cenu visā Līguma darbības laikā;</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piegādājot Pircējam katru Preces partiju, noformēt un nodrošināt nepieciešamos pavaddokumentus (pavadzīmes, kvalitāti apliecinošus dokumentus, u.c.);</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garantēt Preces daudzuma un specifikācijas atbilstību pavaddokumentos norādītajam;</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nodot Pircējam Preci saskaņā ar pavaddokumentiem.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ir tiesīgs:</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Vienpusējā kārtā lauzt Līgumu, rakstiski par to paziņojot Pircējam 30 (trīsdesmit) kalendārās dienas iepriekš un samaksājot Pircējam līgumsodu 25% apmērā, no atlikušās Līguma kopējās summas, kas ir starpība, kas aprēķināta no Līguma 4.1. punktā noteiktās plānotās Līguma kopējās summas un Pircējam jau piegādātā Preces daudzuma summas. Līguma laušana neatbrīvo Pārdevēju no to saistību izpildes, kuras izveidojušās līdz Līguma laušanas brīdim.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Pircējs apņemas:</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koordinēt Preces pasūtīšanu un pirkšanu no Pārdevēja;</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apmaksāt piegādātās Preces saskaņā ar šī Līguma noteikumiem;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Pircējs ir tiesīgs:</w:t>
      </w:r>
    </w:p>
    <w:p w:rsidR="00471CC9" w:rsidRPr="002C118D"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nepieņemt nekvalitatīvu, pasūtījumam un Līguma 1.pielikumam neatbilstošu Preci, informējot par to rakstveidā Pārdevēju.</w:t>
      </w:r>
    </w:p>
    <w:p w:rsidR="00471CC9" w:rsidRDefault="00471CC9" w:rsidP="00471CC9">
      <w:pPr>
        <w:widowControl w:val="0"/>
        <w:numPr>
          <w:ilvl w:val="2"/>
          <w:numId w:val="1"/>
        </w:numPr>
        <w:autoSpaceDE w:val="0"/>
        <w:autoSpaceDN w:val="0"/>
        <w:adjustRightInd w:val="0"/>
        <w:jc w:val="both"/>
        <w:rPr>
          <w:sz w:val="22"/>
          <w:szCs w:val="22"/>
          <w:lang w:val="lv-LV"/>
        </w:rPr>
      </w:pPr>
      <w:r w:rsidRPr="002C118D">
        <w:rPr>
          <w:sz w:val="22"/>
          <w:szCs w:val="22"/>
          <w:lang w:val="lv-LV"/>
        </w:rPr>
        <w:t>Slēgt ar Pārdevēju vienošanos jautājumos, kas skar Preces piegādi, pieņemšanu un norēķinu</w:t>
      </w:r>
      <w:r>
        <w:rPr>
          <w:sz w:val="22"/>
          <w:szCs w:val="22"/>
          <w:lang w:val="lv-LV"/>
        </w:rPr>
        <w:t xml:space="preserve"> kārtību, kas nav pretrunā ar ša</w:t>
      </w:r>
      <w:r w:rsidRPr="002C118D">
        <w:rPr>
          <w:sz w:val="22"/>
          <w:szCs w:val="22"/>
          <w:lang w:val="lv-LV"/>
        </w:rPr>
        <w:t>jā</w:t>
      </w:r>
      <w:r>
        <w:rPr>
          <w:sz w:val="22"/>
          <w:szCs w:val="22"/>
          <w:lang w:val="lv-LV"/>
        </w:rPr>
        <w:t xml:space="preserve"> Līgumā</w:t>
      </w:r>
      <w:r w:rsidRPr="002C118D">
        <w:rPr>
          <w:sz w:val="22"/>
          <w:szCs w:val="22"/>
          <w:lang w:val="lv-LV"/>
        </w:rPr>
        <w:t xml:space="preserve"> noteikto.</w:t>
      </w:r>
    </w:p>
    <w:p w:rsidR="00471CC9" w:rsidRDefault="00471CC9" w:rsidP="00471CC9">
      <w:pPr>
        <w:widowControl w:val="0"/>
        <w:numPr>
          <w:ilvl w:val="2"/>
          <w:numId w:val="1"/>
        </w:numPr>
        <w:autoSpaceDE w:val="0"/>
        <w:autoSpaceDN w:val="0"/>
        <w:adjustRightInd w:val="0"/>
        <w:jc w:val="both"/>
        <w:rPr>
          <w:sz w:val="22"/>
          <w:szCs w:val="22"/>
          <w:lang w:val="lv-LV"/>
        </w:rPr>
      </w:pPr>
      <w:r>
        <w:rPr>
          <w:sz w:val="22"/>
          <w:szCs w:val="22"/>
          <w:lang w:val="lv-LV"/>
        </w:rPr>
        <w:t>veikt Preces kontroles svēršanu.</w:t>
      </w:r>
    </w:p>
    <w:p w:rsidR="00471CC9" w:rsidRPr="002C118D" w:rsidRDefault="00471CC9" w:rsidP="00471CC9">
      <w:pPr>
        <w:widowControl w:val="0"/>
        <w:numPr>
          <w:ilvl w:val="2"/>
          <w:numId w:val="1"/>
        </w:numPr>
        <w:autoSpaceDE w:val="0"/>
        <w:autoSpaceDN w:val="0"/>
        <w:adjustRightInd w:val="0"/>
        <w:jc w:val="both"/>
        <w:rPr>
          <w:sz w:val="22"/>
          <w:szCs w:val="22"/>
          <w:lang w:val="lv-LV"/>
        </w:rPr>
      </w:pPr>
      <w:r>
        <w:rPr>
          <w:sz w:val="22"/>
          <w:szCs w:val="22"/>
          <w:lang w:val="lv-LV"/>
        </w:rPr>
        <w:t>nepieciešamības gadījumā veikt Preces kvalitātes kontroles pārbaudījumus, pieaicinot neatkarīgus sertificētus ekspertus (SGS vai citus).</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PRECES PIEGĀDE UN PIEŅEMŠANA</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ar savu transportu piegādā Preci Pircējam norādītajā vietā: SIA “Rehabilitācijas centrs “Rāzna”” katlu māja – Sauču Kalna iela 3, Veczosna, Lūznavas pag., Rēzeknes nov., LV-4627.</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Līguma darbības laikā Pārdevējs Pircējam Preci piegādā atsevišķās partijās (vienā piegādes reizē ne vairāk par 20 (divdesmit) tonnām.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Preces piegādes laiku un daudzumu katrai piegādes reizei Pārdevējs saskaņo ar šī Līguma 7.1.punktā noteikto par Līguma izpildi atbildīgo personu.</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Preces kvalitātei jāatbilst kvalitāti apliecinošiem dokumentiem.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Preces atbilstību pavaddokum</w:t>
      </w:r>
      <w:r>
        <w:rPr>
          <w:sz w:val="22"/>
          <w:szCs w:val="22"/>
          <w:lang w:val="lv-LV"/>
        </w:rPr>
        <w:t>en</w:t>
      </w:r>
      <w:r w:rsidRPr="002C118D">
        <w:rPr>
          <w:sz w:val="22"/>
          <w:szCs w:val="22"/>
          <w:lang w:val="lv-LV"/>
        </w:rPr>
        <w:t>tos norādītajam apliecina Pārdevējs un Pircējs, parakstot Preces pavadzīmi. Par Preces pieņemšanas brīdī atklātajiem trūkumiem tiek sastādīts akts, kuru paraksta Pircēja un Pārdevēja pārstāvis.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par saviem līdzekļiem nodrošina nekvalitatīvas un Līguma 1.pielikumam neatbilstošas Preces apmaiņu pret kvalitatīvu un Līguma 1.pielikumam atbilstošu Preci četru stundu laikā pēc šī Līguma 3.6.punktā minētā akta sastādīšanas.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pēc Preces pieņemšanas Pircējs konstatē Preces trūkumus, kurus nebija iespējams atklāt, pieņemot Preci, vai rodas cita veida iebildumi par Preces atbilstību šī Līguma noteikumiem, Pircējam ir tiesības iesniegt pretenziju Pārdevējam 5 (piecu) darba dienu laikā no Preces pavadzīmes abpusējas parakstīšanas brīža.</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Pircējs iesniedzis Pārdevējam rakstisku pretenziju šī Līguma 3.7.punktā noteiktajā termiņā, Pārdevējam jāveic Preces apmaiņu pret kvalitatīvu un Līguma 1.pielikumam atbilstošu Preci ar saviem spēkiem un par saviem līdzekļiem ar Pircēju rakstiski saskaņotā termiņā.</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Gadījumā, ja Pārdevējs neakceptē šī Līguma 3.7.punktā minēto pretenziju un atsakās saskaņot ar Pircēju pretenzijā norādītās Preces apmaiņas termiņus, Pircējs var veikt Preces kvalitātes ekspertīzi.</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šī Līguma 3.9.punktā minētās ekspertīzes rezultātā, konstatēts, ka Pārdevējs ir veicis nekvalitatīvas un/vai šī Līguma 1.pielikumam neatbilstošas Preces piegādi, Pārdevējs atlīdzina Pircējam eksperta izdevumus un par saviem līdzekļiem nodrošina ne</w:t>
      </w:r>
      <w:r>
        <w:rPr>
          <w:sz w:val="22"/>
          <w:szCs w:val="22"/>
          <w:lang w:val="lv-LV"/>
        </w:rPr>
        <w:t>k</w:t>
      </w:r>
      <w:r w:rsidRPr="002C118D">
        <w:rPr>
          <w:sz w:val="22"/>
          <w:szCs w:val="22"/>
          <w:lang w:val="lv-LV"/>
        </w:rPr>
        <w:t xml:space="preserve">valitatīvas un Līguma 1.pielikumam neatbilstošas Preces apmaiņu pret kvalitatīvu un Līguma 1.pielikumam atbilstošu Preci 24 (divdesmit četru) stundu laikā no paziņojuma par ekspertīzes rezultātiem saņemšanas brīža. </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Par Preces piegādes datumu tiek uzskatīts datums, kuru Pircējs atzīmē uz Preces pavadzīmes, apstiprinot Preces pieņemšanu.</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Pārdevēja pienākums, plānojot piegādes laiku Pircējam, Preces piegādi nodrošināt atbilstoši Pircējam noteiktajam darba laikam, iepriekš saskaņojot ar Pircēju ierašanās laiku.</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LĪGUMA KOPĒJĀ SUMMA UN NORĒĶINU KĀRTĪBA</w:t>
      </w:r>
    </w:p>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Līguma kopējā summa par šī Līguma 1.1.punktā noteikto Preci ir </w:t>
      </w:r>
      <w:r w:rsidRPr="00471CC9">
        <w:rPr>
          <w:b/>
          <w:sz w:val="22"/>
          <w:szCs w:val="22"/>
          <w:lang w:val="lv-LV"/>
        </w:rPr>
        <w:t>EUR 28 749.60</w:t>
      </w:r>
      <w:r w:rsidRPr="002C118D">
        <w:rPr>
          <w:sz w:val="22"/>
          <w:szCs w:val="22"/>
          <w:lang w:val="lv-LV"/>
        </w:rPr>
        <w:t xml:space="preserve"> (</w:t>
      </w:r>
      <w:r>
        <w:rPr>
          <w:sz w:val="22"/>
          <w:szCs w:val="22"/>
          <w:lang w:val="lv-LV"/>
        </w:rPr>
        <w:t>divdesmit astoņi tūkstoši septiņi simti četrdesmit deviņi euro un 60 centi</w:t>
      </w:r>
      <w:r w:rsidRPr="002C118D">
        <w:rPr>
          <w:sz w:val="22"/>
          <w:szCs w:val="22"/>
          <w:lang w:val="lv-LV"/>
        </w:rPr>
        <w:t xml:space="preserve">), ieskaitot PVN 21% </w:t>
      </w:r>
      <w:r>
        <w:rPr>
          <w:sz w:val="22"/>
          <w:szCs w:val="22"/>
          <w:lang w:val="lv-LV"/>
        </w:rPr>
        <w:t>EUR</w:t>
      </w:r>
      <w:r w:rsidRPr="002C118D">
        <w:rPr>
          <w:sz w:val="22"/>
          <w:szCs w:val="22"/>
          <w:lang w:val="lv-LV"/>
        </w:rPr>
        <w:t xml:space="preserve"> </w:t>
      </w:r>
      <w:r w:rsidRPr="00E920FA">
        <w:rPr>
          <w:b/>
          <w:sz w:val="22"/>
          <w:szCs w:val="22"/>
          <w:lang w:val="lv-LV"/>
        </w:rPr>
        <w:t>4 989.60</w:t>
      </w:r>
      <w:r w:rsidRPr="002C118D">
        <w:rPr>
          <w:sz w:val="22"/>
          <w:szCs w:val="22"/>
          <w:lang w:val="lv-LV"/>
        </w:rPr>
        <w:t xml:space="preserve"> (</w:t>
      </w:r>
      <w:r>
        <w:rPr>
          <w:sz w:val="22"/>
          <w:szCs w:val="22"/>
          <w:lang w:val="lv-LV"/>
        </w:rPr>
        <w:t>četri tūkstoši deviņi simti astoņdesmit deviņi euro un 60 centi</w:t>
      </w:r>
      <w:r w:rsidRPr="002C118D">
        <w:rPr>
          <w:sz w:val="22"/>
          <w:szCs w:val="22"/>
          <w:lang w:val="lv-LV"/>
        </w:rPr>
        <w:t xml:space="preserve">), un Līgumcena (bez PVN) ir </w:t>
      </w:r>
      <w:r>
        <w:rPr>
          <w:sz w:val="22"/>
          <w:szCs w:val="22"/>
          <w:lang w:val="lv-LV"/>
        </w:rPr>
        <w:t>EUR</w:t>
      </w:r>
      <w:r w:rsidRPr="002C118D">
        <w:rPr>
          <w:sz w:val="22"/>
          <w:szCs w:val="22"/>
          <w:lang w:val="lv-LV"/>
        </w:rPr>
        <w:t xml:space="preserve"> </w:t>
      </w:r>
      <w:r w:rsidRPr="00E920FA">
        <w:rPr>
          <w:b/>
          <w:sz w:val="22"/>
          <w:szCs w:val="22"/>
          <w:lang w:val="lv-LV"/>
        </w:rPr>
        <w:t>23 760.00</w:t>
      </w:r>
      <w:r w:rsidRPr="002C118D">
        <w:rPr>
          <w:sz w:val="22"/>
          <w:szCs w:val="22"/>
          <w:lang w:val="lv-LV"/>
        </w:rPr>
        <w:t xml:space="preserve"> (</w:t>
      </w:r>
      <w:r>
        <w:rPr>
          <w:sz w:val="22"/>
          <w:szCs w:val="22"/>
          <w:lang w:val="lv-LV"/>
        </w:rPr>
        <w:t>divdesmit trīs tūkstoši septiņi simti sešdesmit euro un 00 centi</w:t>
      </w:r>
      <w:r w:rsidRPr="002C118D">
        <w:rPr>
          <w:sz w:val="22"/>
          <w:szCs w:val="22"/>
          <w:lang w:val="lv-LV"/>
        </w:rPr>
        <w:t>).</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Līguma kopējā summa var mainīties, ja šī Līguma darbības laikā Latvijas  Republikā tiek grozīti normatīvie akti, kas nosaka nodokļu maiņu, attiecībā uz šī Līguma 1.1.punktā noteiktajām Precēm.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Pircējs par saņemto Preces daļu norēķinās ar Pārdevēju 30 (trīsdesmit) dienu laikā no Preces pavadzīmes parakstīšanas dienas, pārskaitot Preces pavadzīmē norādīto summu Pārdevēja norādītajā bankas kontā.</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NEPĀRVARAMA VARA</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Pārdevējs vai Pircējs nevar pilnīgi vai daļēji izpildīt savas saistības tādu apstākļu dēļ, kurus izraisījusi nep</w:t>
      </w:r>
      <w:r>
        <w:rPr>
          <w:sz w:val="22"/>
          <w:szCs w:val="22"/>
          <w:lang w:val="lv-LV"/>
        </w:rPr>
        <w:t>ārvarama vara – ugunsgrēks, eks</w:t>
      </w:r>
      <w:r w:rsidRPr="002C118D">
        <w:rPr>
          <w:sz w:val="22"/>
          <w:szCs w:val="22"/>
          <w:lang w:val="lv-LV"/>
        </w:rPr>
        <w:t>p</w:t>
      </w:r>
      <w:r>
        <w:rPr>
          <w:sz w:val="22"/>
          <w:szCs w:val="22"/>
          <w:lang w:val="lv-LV"/>
        </w:rPr>
        <w:t>l</w:t>
      </w:r>
      <w:r w:rsidRPr="002C118D">
        <w:rPr>
          <w:sz w:val="22"/>
          <w:szCs w:val="22"/>
          <w:lang w:val="lv-LV"/>
        </w:rPr>
        <w:t>ozija, militāra akcija, blokāde, streiks, avārija, valsts varas vai pārvaldes institūciju darbības, Puses tiek atbrīvotas no atbildības par Līguma saistību nepildīšanu un Līguma darbības termiņš tiek pagarināts par laiku, kas vienāds ar iepriekš minēto apstākļu izraisīto aizkavēšanos.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Ja šī Līguma 5.1.punktā minētie apstākļi ilgst ilgāk par 1 (vienu) mēnesī, tad jebkurai no Pusēm ir tiesības vienpusēji lauzt Līgumu, un šajā gadījumā nevienai no Pusei nav tiesību pieprasīt no otras </w:t>
      </w:r>
      <w:r w:rsidRPr="002C118D">
        <w:rPr>
          <w:sz w:val="22"/>
          <w:szCs w:val="22"/>
          <w:lang w:val="lv-LV"/>
        </w:rPr>
        <w:lastRenderedPageBreak/>
        <w:t>segt zaudējumus, kas radušies Līguma laušanas rezultātā. Līguma laušana neatbrīvo Puses no to saistību izpildes, kuras izveidojušās līdz šī Līguma 5.1.punktā minēto apstākļu iestāšanās brīdim.</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Pusei, kurai kļuvis neiespējami izpildīt saistības šī Līguma 5.1.punktā minēto apstākļu dēļ, 5 (piecu) kalendāro dienu laikā rakstiski paziņo otrai Pusei par šādu apstākļu rašanos vai izbeigšanos. Nepārvaramas varas apstākļi jāpamato ar attiecīgas valsts vai pašvaldības institūcijas izsniegto dokumentu.</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PUŠU ATBILDĪBA UN STRĪDU IZSKATĪŠANAS KĀRTĪBA</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Gadījumā, ja Pārdevējs nepilda Līguma saistības, tad Pircējam ir tiesības vienpusēji lauzt Līgumu, bet Pārdevējs samaksā Pircējam līgumsodu 25% apmērā no atlikušās Līguma kopējās summas, ka ir starpība, kas aprēķināta no Līguma 4.1.punktā noteiktās plānotās Līguma kopējās summas un Pircējam jau piegādātā Preču daudzuma kopējās summas.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Pārdevējs šī Līguma 3.2. un/vai 3.3.punktā Preces piegādes termiņa neievērošanas gadījumā maksā Pircējam līgumsodu 0,5% apmērā no laikā nepiegādātās Preces vērtības par katru nokavēto dienu. Līgumsoda samaksa neatbrīvo Pārdevēju no līgumsaistību izpildes. Ja Pircējs atzīst kavējuma iemeslus par attaisnojošiem, tad viņš var atbrīvot Pārdevēju no minētā līgumsoda vai arī to samazināt.</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Pircējs neievēro šī Līguma 4.3.punktā noteikto samaksas termiņu, tad Pārdevējam ir tiesības aprēķināt Pircējam līgumsodu 0,5% apmērā no laikā nenomaksātās summas, bet ne vairāk kā 10% no Pircējam pavadzīmē norādītās summas. Līgumsoda samaksa neatbrīvo Pircēju no līgumsaistību izpildes. J</w:t>
      </w:r>
      <w:r>
        <w:rPr>
          <w:sz w:val="22"/>
          <w:szCs w:val="22"/>
          <w:lang w:val="lv-LV"/>
        </w:rPr>
        <w:t>a Pārdevējs atzīst kavējuma iem</w:t>
      </w:r>
      <w:r w:rsidRPr="002C118D">
        <w:rPr>
          <w:sz w:val="22"/>
          <w:szCs w:val="22"/>
          <w:lang w:val="lv-LV"/>
        </w:rPr>
        <w:t>e</w:t>
      </w:r>
      <w:r>
        <w:rPr>
          <w:sz w:val="22"/>
          <w:szCs w:val="22"/>
          <w:lang w:val="lv-LV"/>
        </w:rPr>
        <w:t>s</w:t>
      </w:r>
      <w:r w:rsidRPr="002C118D">
        <w:rPr>
          <w:sz w:val="22"/>
          <w:szCs w:val="22"/>
          <w:lang w:val="lv-LV"/>
        </w:rPr>
        <w:t>lus par attaisnojošiem, tad viņš var atbrīvot Pircēju no minētā līgumsoda vai arī to samazināt.</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Par šī Līguma 3.6., 3.10.punktā noteiktajā un/vai 3.8.punktā noteiktajā kārtībā saskaņotā termiņa nokavēšanu Pārdevējs maksā Pircējam līgumsodu 0,5% apmērā no Līguma kopējās summas par katru nokavēto summu, bet ne vairāk kā 10% no Līguma kopējās summas.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Ja šī Līguma 3.6., 3.10.punktā noteiktajā un/vai 3.11.punktā noteiktajā kārtībā saskaņotais Preces apmaiņas termiņš nokavēts vairāk par 2 (divām) darba dienām, Pircējam ir tiesības vienpusējā kārtā lauzt Līgumu, nosūtot Pārdevējam paziņojumu par Līguma laušanu un norādot Līguma laušanas termiņu. Šādā gadījumā Pircējam ir tiesības prasīt no Pārdevēja līgumsoda apmaksu 25% apmērā no atlikušās Līguma kopējās summas, kas ir starpība, kas aprēķināta no Līguma 4.1.punktā noteiktās plānotās Līguma kopējās summas un Pircējam jau piegādātā Preces daudzuma kopējās summas.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Līgumsodu samaksa neatbrīvo vainīgo Pusi no pienākuma izpildīt tai ar Līgumu noteiktās saistības.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Pircējam radītos zaudējumus, kas radušies Pārdevēja vainas dēļ, Pārdevējs atlīdzina pilnā apjomā.</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Visas domstarpības un strīdus, kas varētu rasties Līguma izpildes gaitā, Puses risina savstarpēju sarunu ceļā. Ja sarunu ceļā vienošanos panākt nav iespējams, tad strīds izšķirams Latvijas Republikas normatīvajos aktos noteiktajā kārtībā – tiesā.</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Visos jautājumos, kas nav atrunāti šajā Līgumā, Puses vadās no spēkā esošajiem Latvijas Republikas normatīvajiem aktiem.</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PAR LĪGUMA IZPILDI ATBILDĪGĀS PERSONAS</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No Pircēja puses: </w:t>
      </w:r>
      <w:r w:rsidR="00AF0190">
        <w:rPr>
          <w:sz w:val="22"/>
          <w:szCs w:val="22"/>
          <w:lang w:val="lv-LV"/>
        </w:rPr>
        <w:t>_____________________________________________</w:t>
      </w:r>
      <w:r w:rsidRPr="002C118D">
        <w:rPr>
          <w:sz w:val="22"/>
          <w:szCs w:val="22"/>
          <w:lang w:val="lv-LV"/>
        </w:rPr>
        <w:t>.</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No Pārdevēja puses: ___________________________________________.</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CITI NOTEIKUMI</w:t>
      </w:r>
    </w:p>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Līguma grozījumi un papildinājumi ir spēkā, ja tie ir noformēti rakstveidā un tos parakstījušas abas Puses. Tie kļūst par šī Līguma neatņemamu sastāvdaļu.</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Līgumu var izbeigt Pusēm rakstveidā vienojoties, ja vienošanās ir pamatota ar objektīviem apsvērumiem, kurus Puses nebija paredzējušas un nevarēja paredzēt Līguma noslēgšanas brīdī.</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Neviena no Pusēm bez otras Puses rakstiskas piekrišanas nedrīkst nodot savas šajā Līgumā noteiktās tiesības vai pienākumus trešajai personai.</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Puses ir iepazinušās ar šī Līguma saturu. Tas satur pilnīgu Pušu vienošanos un to nevar mainīt citā kārtībā, kā tikai Pusēm rakstveidā vienojoties.</w:t>
      </w:r>
    </w:p>
    <w:p w:rsidR="00471CC9" w:rsidRPr="002C118D" w:rsidRDefault="00471CC9" w:rsidP="00471CC9">
      <w:pPr>
        <w:widowControl w:val="0"/>
        <w:numPr>
          <w:ilvl w:val="1"/>
          <w:numId w:val="1"/>
        </w:numPr>
        <w:autoSpaceDE w:val="0"/>
        <w:autoSpaceDN w:val="0"/>
        <w:adjustRightInd w:val="0"/>
        <w:jc w:val="both"/>
        <w:rPr>
          <w:sz w:val="22"/>
          <w:szCs w:val="22"/>
          <w:lang w:val="lv-LV"/>
        </w:rPr>
      </w:pPr>
      <w:r w:rsidRPr="002C118D">
        <w:rPr>
          <w:sz w:val="22"/>
          <w:szCs w:val="22"/>
          <w:lang w:val="lv-LV"/>
        </w:rPr>
        <w:t xml:space="preserve">Līgums sagatavots uz </w:t>
      </w:r>
      <w:r w:rsidR="00C46700">
        <w:rPr>
          <w:sz w:val="22"/>
          <w:szCs w:val="22"/>
          <w:lang w:val="lv-LV"/>
        </w:rPr>
        <w:t>4</w:t>
      </w:r>
      <w:r w:rsidRPr="002C118D">
        <w:rPr>
          <w:sz w:val="22"/>
          <w:szCs w:val="22"/>
          <w:lang w:val="lv-LV"/>
        </w:rPr>
        <w:t xml:space="preserve"> (</w:t>
      </w:r>
      <w:r w:rsidR="00C46700">
        <w:rPr>
          <w:sz w:val="22"/>
          <w:szCs w:val="22"/>
          <w:lang w:val="lv-LV"/>
        </w:rPr>
        <w:t>četrām</w:t>
      </w:r>
      <w:r w:rsidRPr="002C118D">
        <w:rPr>
          <w:sz w:val="22"/>
          <w:szCs w:val="22"/>
          <w:lang w:val="lv-LV"/>
        </w:rPr>
        <w:t xml:space="preserve">) lapām ar diviem pielikumiem uz </w:t>
      </w:r>
      <w:r w:rsidR="00C46700">
        <w:rPr>
          <w:sz w:val="22"/>
          <w:szCs w:val="22"/>
          <w:lang w:val="lv-LV"/>
        </w:rPr>
        <w:t>3</w:t>
      </w:r>
      <w:r w:rsidRPr="002C118D">
        <w:rPr>
          <w:sz w:val="22"/>
          <w:szCs w:val="22"/>
          <w:lang w:val="lv-LV"/>
        </w:rPr>
        <w:t xml:space="preserve"> (</w:t>
      </w:r>
      <w:r w:rsidR="00C46700">
        <w:rPr>
          <w:sz w:val="22"/>
          <w:szCs w:val="22"/>
          <w:lang w:val="lv-LV"/>
        </w:rPr>
        <w:t>trīs</w:t>
      </w:r>
      <w:r w:rsidRPr="002C118D">
        <w:rPr>
          <w:sz w:val="22"/>
          <w:szCs w:val="22"/>
          <w:lang w:val="lv-LV"/>
        </w:rPr>
        <w:t xml:space="preserve">) lapām, divos </w:t>
      </w:r>
      <w:r w:rsidRPr="002C118D">
        <w:rPr>
          <w:sz w:val="22"/>
          <w:szCs w:val="22"/>
          <w:lang w:val="lv-LV"/>
        </w:rPr>
        <w:lastRenderedPageBreak/>
        <w:t>eksemplāros, pa vienam katrai Pusei. Abiem Līguma eksemplāriem ir vienāds juridiskais spēks.</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LĪGUMA PIELIKUMI</w:t>
      </w:r>
    </w:p>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autoSpaceDE w:val="0"/>
        <w:autoSpaceDN w:val="0"/>
        <w:adjustRightInd w:val="0"/>
        <w:jc w:val="both"/>
        <w:rPr>
          <w:sz w:val="22"/>
          <w:szCs w:val="22"/>
          <w:lang w:val="lv-LV"/>
        </w:rPr>
      </w:pPr>
      <w:r w:rsidRPr="002C118D">
        <w:rPr>
          <w:sz w:val="22"/>
          <w:szCs w:val="22"/>
          <w:lang w:val="lv-LV"/>
        </w:rPr>
        <w:t>1.pielikums – Pārdevēja iesniegtais Tehniskais piedāvājums Iepirkumam.</w:t>
      </w:r>
    </w:p>
    <w:p w:rsidR="00471CC9" w:rsidRPr="002C118D" w:rsidRDefault="00471CC9" w:rsidP="00471CC9">
      <w:pPr>
        <w:widowControl w:val="0"/>
        <w:autoSpaceDE w:val="0"/>
        <w:autoSpaceDN w:val="0"/>
        <w:adjustRightInd w:val="0"/>
        <w:jc w:val="both"/>
        <w:rPr>
          <w:sz w:val="22"/>
          <w:szCs w:val="22"/>
          <w:lang w:val="lv-LV"/>
        </w:rPr>
      </w:pPr>
      <w:r w:rsidRPr="002C118D">
        <w:rPr>
          <w:sz w:val="22"/>
          <w:szCs w:val="22"/>
          <w:lang w:val="lv-LV"/>
        </w:rPr>
        <w:t>2.pielikums – Pārdevēja iesniegtais Finanšu piedāvājums Iepirkumam.</w:t>
      </w:r>
    </w:p>
    <w:p w:rsidR="00471CC9" w:rsidRPr="002C118D" w:rsidRDefault="00471CC9" w:rsidP="00471CC9">
      <w:pPr>
        <w:widowControl w:val="0"/>
        <w:autoSpaceDE w:val="0"/>
        <w:autoSpaceDN w:val="0"/>
        <w:adjustRightInd w:val="0"/>
        <w:jc w:val="both"/>
        <w:rPr>
          <w:sz w:val="22"/>
          <w:szCs w:val="22"/>
          <w:lang w:val="lv-LV"/>
        </w:rPr>
      </w:pPr>
    </w:p>
    <w:p w:rsidR="00471CC9" w:rsidRPr="002C118D" w:rsidRDefault="00471CC9" w:rsidP="00471CC9">
      <w:pPr>
        <w:widowControl w:val="0"/>
        <w:numPr>
          <w:ilvl w:val="0"/>
          <w:numId w:val="1"/>
        </w:numPr>
        <w:autoSpaceDE w:val="0"/>
        <w:autoSpaceDN w:val="0"/>
        <w:adjustRightInd w:val="0"/>
        <w:jc w:val="both"/>
        <w:rPr>
          <w:b/>
          <w:sz w:val="22"/>
          <w:szCs w:val="22"/>
          <w:lang w:val="lv-LV"/>
        </w:rPr>
      </w:pPr>
      <w:r w:rsidRPr="002C118D">
        <w:rPr>
          <w:b/>
          <w:sz w:val="22"/>
          <w:szCs w:val="22"/>
          <w:lang w:val="lv-LV"/>
        </w:rPr>
        <w:t>PUŠU REKVIZĪTI UN PARAKSTI</w:t>
      </w:r>
    </w:p>
    <w:p w:rsidR="00471CC9" w:rsidRPr="002C118D" w:rsidRDefault="00471CC9" w:rsidP="00471CC9">
      <w:pPr>
        <w:widowControl w:val="0"/>
        <w:autoSpaceDE w:val="0"/>
        <w:autoSpaceDN w:val="0"/>
        <w:adjustRightInd w:val="0"/>
        <w:jc w:val="both"/>
        <w:rPr>
          <w:b/>
          <w:sz w:val="22"/>
          <w:szCs w:val="22"/>
          <w:lang w:val="lv-LV"/>
        </w:rPr>
      </w:pPr>
    </w:p>
    <w:tbl>
      <w:tblPr>
        <w:tblW w:w="0" w:type="auto"/>
        <w:tblLook w:val="04A0"/>
      </w:tblPr>
      <w:tblGrid>
        <w:gridCol w:w="4643"/>
        <w:gridCol w:w="4644"/>
      </w:tblGrid>
      <w:tr w:rsidR="00471CC9" w:rsidRPr="002C118D" w:rsidTr="00C46700">
        <w:tc>
          <w:tcPr>
            <w:tcW w:w="4643" w:type="dxa"/>
          </w:tcPr>
          <w:p w:rsidR="00471CC9" w:rsidRPr="002C118D" w:rsidRDefault="00471CC9" w:rsidP="00621172">
            <w:pPr>
              <w:widowControl w:val="0"/>
              <w:autoSpaceDE w:val="0"/>
              <w:autoSpaceDN w:val="0"/>
              <w:adjustRightInd w:val="0"/>
              <w:jc w:val="both"/>
              <w:rPr>
                <w:b/>
                <w:sz w:val="22"/>
                <w:szCs w:val="22"/>
                <w:lang w:val="lv-LV"/>
              </w:rPr>
            </w:pPr>
            <w:r w:rsidRPr="002C118D">
              <w:rPr>
                <w:b/>
                <w:sz w:val="22"/>
                <w:szCs w:val="22"/>
                <w:lang w:val="lv-LV"/>
              </w:rPr>
              <w:t xml:space="preserve">Pircējs </w:t>
            </w:r>
          </w:p>
          <w:p w:rsidR="00471CC9" w:rsidRPr="002C118D" w:rsidRDefault="00471CC9" w:rsidP="00621172">
            <w:pPr>
              <w:widowControl w:val="0"/>
              <w:autoSpaceDE w:val="0"/>
              <w:autoSpaceDN w:val="0"/>
              <w:adjustRightInd w:val="0"/>
              <w:jc w:val="both"/>
              <w:rPr>
                <w:b/>
                <w:sz w:val="22"/>
                <w:szCs w:val="22"/>
                <w:lang w:val="lv-LV"/>
              </w:rPr>
            </w:pPr>
          </w:p>
        </w:tc>
        <w:tc>
          <w:tcPr>
            <w:tcW w:w="4644" w:type="dxa"/>
            <w:hideMark/>
          </w:tcPr>
          <w:p w:rsidR="00471CC9" w:rsidRPr="002C118D" w:rsidRDefault="00471CC9" w:rsidP="00621172">
            <w:pPr>
              <w:widowControl w:val="0"/>
              <w:autoSpaceDE w:val="0"/>
              <w:autoSpaceDN w:val="0"/>
              <w:adjustRightInd w:val="0"/>
              <w:jc w:val="both"/>
              <w:rPr>
                <w:b/>
                <w:sz w:val="22"/>
                <w:szCs w:val="22"/>
                <w:lang w:val="lv-LV"/>
              </w:rPr>
            </w:pPr>
            <w:r w:rsidRPr="002C118D">
              <w:rPr>
                <w:b/>
                <w:sz w:val="22"/>
                <w:szCs w:val="22"/>
                <w:lang w:val="lv-LV"/>
              </w:rPr>
              <w:t>Pārdevējs</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b/>
                <w:sz w:val="22"/>
                <w:szCs w:val="22"/>
                <w:lang w:val="lv-LV"/>
              </w:rPr>
            </w:pPr>
            <w:r w:rsidRPr="002C118D">
              <w:rPr>
                <w:b/>
                <w:sz w:val="22"/>
                <w:szCs w:val="22"/>
                <w:lang w:val="lv-LV"/>
              </w:rPr>
              <w:t>SIA “REHABILITĀCIJAS CENTRS “RĀZNA””</w:t>
            </w:r>
          </w:p>
        </w:tc>
        <w:tc>
          <w:tcPr>
            <w:tcW w:w="4644" w:type="dxa"/>
            <w:hideMark/>
          </w:tcPr>
          <w:p w:rsidR="00471CC9" w:rsidRPr="00C46700" w:rsidRDefault="00C46700" w:rsidP="00621172">
            <w:pPr>
              <w:widowControl w:val="0"/>
              <w:autoSpaceDE w:val="0"/>
              <w:autoSpaceDN w:val="0"/>
              <w:adjustRightInd w:val="0"/>
              <w:jc w:val="both"/>
              <w:rPr>
                <w:b/>
                <w:sz w:val="22"/>
                <w:szCs w:val="22"/>
                <w:lang w:val="lv-LV"/>
              </w:rPr>
            </w:pPr>
            <w:r w:rsidRPr="00C46700">
              <w:rPr>
                <w:b/>
                <w:sz w:val="22"/>
                <w:szCs w:val="22"/>
                <w:lang w:val="lv-LV"/>
              </w:rPr>
              <w:t>SIA „AKVARIUS”</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Vienotais reģistrācijas Nr. 40003275348</w:t>
            </w:r>
          </w:p>
        </w:tc>
        <w:tc>
          <w:tcPr>
            <w:tcW w:w="4644"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Vienotais reģistrācijas Nr.</w:t>
            </w:r>
            <w:r w:rsidR="00C46700">
              <w:rPr>
                <w:sz w:val="22"/>
                <w:szCs w:val="22"/>
                <w:lang w:val="lv-LV"/>
              </w:rPr>
              <w:t xml:space="preserve"> 40103031530</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Sauču Kalna ielā 3, Veczosna, Lūznavas pag., Rēzeknes nov., LV-4627</w:t>
            </w:r>
          </w:p>
        </w:tc>
        <w:tc>
          <w:tcPr>
            <w:tcW w:w="4644" w:type="dxa"/>
            <w:hideMark/>
          </w:tcPr>
          <w:p w:rsidR="00471CC9" w:rsidRPr="002C118D" w:rsidRDefault="00C46700" w:rsidP="00621172">
            <w:pPr>
              <w:widowControl w:val="0"/>
              <w:autoSpaceDE w:val="0"/>
              <w:autoSpaceDN w:val="0"/>
              <w:adjustRightInd w:val="0"/>
              <w:jc w:val="both"/>
              <w:rPr>
                <w:sz w:val="22"/>
                <w:szCs w:val="22"/>
                <w:lang w:val="lv-LV"/>
              </w:rPr>
            </w:pPr>
            <w:r>
              <w:rPr>
                <w:sz w:val="22"/>
                <w:szCs w:val="22"/>
                <w:lang w:val="lv-LV"/>
              </w:rPr>
              <w:t>Delzavas iela 74, Rīga, LV-1082</w:t>
            </w:r>
          </w:p>
        </w:tc>
      </w:tr>
      <w:tr w:rsidR="00471CC9" w:rsidRPr="002C118D" w:rsidTr="00C46700">
        <w:tc>
          <w:tcPr>
            <w:tcW w:w="4643" w:type="dxa"/>
            <w:hideMark/>
          </w:tcPr>
          <w:p w:rsidR="00C46700" w:rsidRDefault="00471CC9" w:rsidP="00C46700">
            <w:pPr>
              <w:widowControl w:val="0"/>
              <w:autoSpaceDE w:val="0"/>
              <w:autoSpaceDN w:val="0"/>
              <w:adjustRightInd w:val="0"/>
              <w:jc w:val="both"/>
              <w:rPr>
                <w:sz w:val="22"/>
                <w:szCs w:val="22"/>
                <w:lang w:val="lv-LV"/>
              </w:rPr>
            </w:pPr>
            <w:r w:rsidRPr="002C118D">
              <w:rPr>
                <w:sz w:val="22"/>
                <w:szCs w:val="22"/>
                <w:lang w:val="lv-LV"/>
              </w:rPr>
              <w:t xml:space="preserve">Tālrunis/fakss 64646910, </w:t>
            </w:r>
          </w:p>
          <w:p w:rsidR="00471CC9" w:rsidRPr="002C118D" w:rsidRDefault="00471CC9" w:rsidP="00C46700">
            <w:pPr>
              <w:widowControl w:val="0"/>
              <w:autoSpaceDE w:val="0"/>
              <w:autoSpaceDN w:val="0"/>
              <w:adjustRightInd w:val="0"/>
              <w:jc w:val="both"/>
              <w:rPr>
                <w:sz w:val="22"/>
                <w:szCs w:val="22"/>
                <w:lang w:val="lv-LV"/>
              </w:rPr>
            </w:pPr>
            <w:r w:rsidRPr="002C118D">
              <w:rPr>
                <w:sz w:val="22"/>
                <w:szCs w:val="22"/>
                <w:lang w:val="lv-LV"/>
              </w:rPr>
              <w:t xml:space="preserve">e-pasts: </w:t>
            </w:r>
            <w:r w:rsidR="00C46700">
              <w:rPr>
                <w:sz w:val="22"/>
                <w:szCs w:val="22"/>
                <w:lang w:val="lv-LV"/>
              </w:rPr>
              <w:t>info.rcrazna@gmail.com</w:t>
            </w:r>
          </w:p>
        </w:tc>
        <w:tc>
          <w:tcPr>
            <w:tcW w:w="4644" w:type="dxa"/>
            <w:hideMark/>
          </w:tcPr>
          <w:p w:rsidR="00C46700" w:rsidRDefault="00C46700" w:rsidP="00C46700">
            <w:pPr>
              <w:widowControl w:val="0"/>
              <w:autoSpaceDE w:val="0"/>
              <w:autoSpaceDN w:val="0"/>
              <w:adjustRightInd w:val="0"/>
              <w:jc w:val="both"/>
              <w:rPr>
                <w:sz w:val="22"/>
                <w:szCs w:val="22"/>
                <w:lang w:val="lv-LV"/>
              </w:rPr>
            </w:pPr>
            <w:r>
              <w:rPr>
                <w:sz w:val="22"/>
                <w:szCs w:val="22"/>
                <w:lang w:val="lv-LV"/>
              </w:rPr>
              <w:t xml:space="preserve">Tālrunis: </w:t>
            </w:r>
          </w:p>
          <w:p w:rsidR="00471CC9" w:rsidRPr="002C118D" w:rsidRDefault="00C46700" w:rsidP="00AF0190">
            <w:pPr>
              <w:widowControl w:val="0"/>
              <w:autoSpaceDE w:val="0"/>
              <w:autoSpaceDN w:val="0"/>
              <w:adjustRightInd w:val="0"/>
              <w:jc w:val="both"/>
              <w:rPr>
                <w:sz w:val="22"/>
                <w:szCs w:val="22"/>
                <w:lang w:val="lv-LV"/>
              </w:rPr>
            </w:pPr>
            <w:r>
              <w:rPr>
                <w:sz w:val="22"/>
                <w:szCs w:val="22"/>
                <w:lang w:val="lv-LV"/>
              </w:rPr>
              <w:t xml:space="preserve">e-pasts: </w:t>
            </w:r>
          </w:p>
        </w:tc>
      </w:tr>
      <w:tr w:rsidR="00C46700" w:rsidRPr="002C118D" w:rsidTr="00C46700">
        <w:tc>
          <w:tcPr>
            <w:tcW w:w="4643" w:type="dxa"/>
            <w:hideMark/>
          </w:tcPr>
          <w:p w:rsidR="00C46700" w:rsidRPr="002C118D" w:rsidRDefault="00C46700" w:rsidP="00C46700">
            <w:pPr>
              <w:widowControl w:val="0"/>
              <w:autoSpaceDE w:val="0"/>
              <w:autoSpaceDN w:val="0"/>
              <w:adjustRightInd w:val="0"/>
              <w:jc w:val="both"/>
              <w:rPr>
                <w:sz w:val="22"/>
                <w:szCs w:val="22"/>
                <w:lang w:val="lv-LV"/>
              </w:rPr>
            </w:pPr>
          </w:p>
        </w:tc>
        <w:tc>
          <w:tcPr>
            <w:tcW w:w="4644" w:type="dxa"/>
            <w:hideMark/>
          </w:tcPr>
          <w:p w:rsidR="00C46700" w:rsidRDefault="00C46700" w:rsidP="00C46700">
            <w:pPr>
              <w:widowControl w:val="0"/>
              <w:autoSpaceDE w:val="0"/>
              <w:autoSpaceDN w:val="0"/>
              <w:adjustRightInd w:val="0"/>
              <w:jc w:val="both"/>
              <w:rPr>
                <w:sz w:val="22"/>
                <w:szCs w:val="22"/>
                <w:lang w:val="lv-LV"/>
              </w:rPr>
            </w:pP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Banka: Valsts Kase</w:t>
            </w:r>
          </w:p>
        </w:tc>
        <w:tc>
          <w:tcPr>
            <w:tcW w:w="4644" w:type="dxa"/>
            <w:hideMark/>
          </w:tcPr>
          <w:p w:rsidR="00471CC9" w:rsidRPr="002C118D" w:rsidRDefault="00471CC9" w:rsidP="00AF0190">
            <w:pPr>
              <w:widowControl w:val="0"/>
              <w:autoSpaceDE w:val="0"/>
              <w:autoSpaceDN w:val="0"/>
              <w:adjustRightInd w:val="0"/>
              <w:jc w:val="both"/>
              <w:rPr>
                <w:sz w:val="22"/>
                <w:szCs w:val="22"/>
                <w:lang w:val="lv-LV"/>
              </w:rPr>
            </w:pPr>
            <w:r w:rsidRPr="002C118D">
              <w:rPr>
                <w:sz w:val="22"/>
                <w:szCs w:val="22"/>
                <w:lang w:val="lv-LV"/>
              </w:rPr>
              <w:t xml:space="preserve">Banka: </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Pr>
                <w:sz w:val="22"/>
                <w:szCs w:val="22"/>
                <w:lang w:val="lv-LV"/>
              </w:rPr>
              <w:t>Konts: LV94TREL9290872</w:t>
            </w:r>
            <w:r w:rsidRPr="002C118D">
              <w:rPr>
                <w:sz w:val="22"/>
                <w:szCs w:val="22"/>
                <w:lang w:val="lv-LV"/>
              </w:rPr>
              <w:t>000000</w:t>
            </w:r>
          </w:p>
        </w:tc>
        <w:tc>
          <w:tcPr>
            <w:tcW w:w="4644" w:type="dxa"/>
            <w:hideMark/>
          </w:tcPr>
          <w:p w:rsidR="00471CC9" w:rsidRPr="002C118D" w:rsidRDefault="00471CC9" w:rsidP="00AF0190">
            <w:pPr>
              <w:widowControl w:val="0"/>
              <w:autoSpaceDE w:val="0"/>
              <w:autoSpaceDN w:val="0"/>
              <w:adjustRightInd w:val="0"/>
              <w:jc w:val="both"/>
              <w:rPr>
                <w:sz w:val="22"/>
                <w:szCs w:val="22"/>
                <w:lang w:val="lv-LV"/>
              </w:rPr>
            </w:pPr>
            <w:r w:rsidRPr="002C118D">
              <w:rPr>
                <w:sz w:val="22"/>
                <w:szCs w:val="22"/>
                <w:lang w:val="lv-LV"/>
              </w:rPr>
              <w:t>Konts:</w:t>
            </w:r>
            <w:r w:rsidR="00C46700">
              <w:rPr>
                <w:sz w:val="22"/>
                <w:szCs w:val="22"/>
                <w:lang w:val="lv-LV"/>
              </w:rPr>
              <w:t xml:space="preserve"> </w:t>
            </w: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Kods: TRELLV22</w:t>
            </w:r>
          </w:p>
        </w:tc>
        <w:tc>
          <w:tcPr>
            <w:tcW w:w="4644" w:type="dxa"/>
            <w:hideMark/>
          </w:tcPr>
          <w:p w:rsidR="00471CC9" w:rsidRPr="002C118D" w:rsidRDefault="00471CC9" w:rsidP="00AF0190">
            <w:pPr>
              <w:widowControl w:val="0"/>
              <w:autoSpaceDE w:val="0"/>
              <w:autoSpaceDN w:val="0"/>
              <w:adjustRightInd w:val="0"/>
              <w:jc w:val="both"/>
              <w:rPr>
                <w:sz w:val="22"/>
                <w:szCs w:val="22"/>
                <w:lang w:val="lv-LV"/>
              </w:rPr>
            </w:pPr>
            <w:r w:rsidRPr="002C118D">
              <w:rPr>
                <w:sz w:val="22"/>
                <w:szCs w:val="22"/>
                <w:lang w:val="lv-LV"/>
              </w:rPr>
              <w:t xml:space="preserve">Kods: </w:t>
            </w:r>
          </w:p>
        </w:tc>
      </w:tr>
      <w:tr w:rsidR="00471CC9" w:rsidRPr="002C118D" w:rsidTr="00C46700">
        <w:tc>
          <w:tcPr>
            <w:tcW w:w="4643" w:type="dxa"/>
          </w:tcPr>
          <w:p w:rsidR="00471CC9" w:rsidRPr="002C118D" w:rsidRDefault="00471CC9" w:rsidP="00621172">
            <w:pPr>
              <w:widowControl w:val="0"/>
              <w:autoSpaceDE w:val="0"/>
              <w:autoSpaceDN w:val="0"/>
              <w:adjustRightInd w:val="0"/>
              <w:jc w:val="both"/>
              <w:rPr>
                <w:sz w:val="22"/>
                <w:szCs w:val="22"/>
                <w:lang w:val="lv-LV"/>
              </w:rPr>
            </w:pPr>
          </w:p>
        </w:tc>
        <w:tc>
          <w:tcPr>
            <w:tcW w:w="4644" w:type="dxa"/>
          </w:tcPr>
          <w:p w:rsidR="00471CC9" w:rsidRPr="002C118D" w:rsidRDefault="00471CC9" w:rsidP="00621172">
            <w:pPr>
              <w:widowControl w:val="0"/>
              <w:autoSpaceDE w:val="0"/>
              <w:autoSpaceDN w:val="0"/>
              <w:adjustRightInd w:val="0"/>
              <w:jc w:val="both"/>
              <w:rPr>
                <w:sz w:val="22"/>
                <w:szCs w:val="22"/>
                <w:lang w:val="lv-LV"/>
              </w:rPr>
            </w:pPr>
          </w:p>
        </w:tc>
      </w:tr>
      <w:tr w:rsidR="00471CC9" w:rsidRPr="002C118D" w:rsidTr="00C46700">
        <w:tc>
          <w:tcPr>
            <w:tcW w:w="4643" w:type="dxa"/>
          </w:tcPr>
          <w:p w:rsidR="00471CC9" w:rsidRPr="002C118D" w:rsidRDefault="00471CC9" w:rsidP="00621172">
            <w:pPr>
              <w:widowControl w:val="0"/>
              <w:autoSpaceDE w:val="0"/>
              <w:autoSpaceDN w:val="0"/>
              <w:adjustRightInd w:val="0"/>
              <w:jc w:val="both"/>
              <w:rPr>
                <w:sz w:val="22"/>
                <w:szCs w:val="22"/>
                <w:lang w:val="lv-LV"/>
              </w:rPr>
            </w:pPr>
          </w:p>
          <w:p w:rsidR="00471CC9" w:rsidRPr="002C118D" w:rsidRDefault="00471CC9" w:rsidP="00621172">
            <w:pPr>
              <w:widowControl w:val="0"/>
              <w:autoSpaceDE w:val="0"/>
              <w:autoSpaceDN w:val="0"/>
              <w:adjustRightInd w:val="0"/>
              <w:jc w:val="both"/>
              <w:rPr>
                <w:sz w:val="22"/>
                <w:szCs w:val="22"/>
                <w:lang w:val="lv-LV"/>
              </w:rPr>
            </w:pPr>
          </w:p>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Valdes locekle ________________________</w:t>
            </w:r>
          </w:p>
          <w:p w:rsidR="00471CC9" w:rsidRPr="002C118D" w:rsidRDefault="00471CC9" w:rsidP="00621172">
            <w:pPr>
              <w:widowControl w:val="0"/>
              <w:autoSpaceDE w:val="0"/>
              <w:autoSpaceDN w:val="0"/>
              <w:adjustRightInd w:val="0"/>
              <w:jc w:val="both"/>
              <w:rPr>
                <w:sz w:val="22"/>
                <w:szCs w:val="22"/>
                <w:lang w:val="lv-LV"/>
              </w:rPr>
            </w:pPr>
          </w:p>
        </w:tc>
        <w:tc>
          <w:tcPr>
            <w:tcW w:w="4644" w:type="dxa"/>
          </w:tcPr>
          <w:p w:rsidR="00471CC9" w:rsidRPr="002C118D" w:rsidRDefault="00471CC9" w:rsidP="00621172">
            <w:pPr>
              <w:widowControl w:val="0"/>
              <w:autoSpaceDE w:val="0"/>
              <w:autoSpaceDN w:val="0"/>
              <w:adjustRightInd w:val="0"/>
              <w:jc w:val="both"/>
              <w:rPr>
                <w:sz w:val="22"/>
                <w:szCs w:val="22"/>
                <w:lang w:val="lv-LV"/>
              </w:rPr>
            </w:pPr>
          </w:p>
          <w:p w:rsidR="00471CC9" w:rsidRPr="002C118D" w:rsidRDefault="00471CC9" w:rsidP="00621172">
            <w:pPr>
              <w:widowControl w:val="0"/>
              <w:autoSpaceDE w:val="0"/>
              <w:autoSpaceDN w:val="0"/>
              <w:adjustRightInd w:val="0"/>
              <w:jc w:val="both"/>
              <w:rPr>
                <w:sz w:val="22"/>
                <w:szCs w:val="22"/>
                <w:lang w:val="lv-LV"/>
              </w:rPr>
            </w:pPr>
          </w:p>
          <w:p w:rsidR="00471CC9" w:rsidRDefault="00C46700" w:rsidP="00621172">
            <w:pPr>
              <w:widowControl w:val="0"/>
              <w:autoSpaceDE w:val="0"/>
              <w:autoSpaceDN w:val="0"/>
              <w:adjustRightInd w:val="0"/>
              <w:jc w:val="both"/>
              <w:rPr>
                <w:sz w:val="22"/>
                <w:szCs w:val="22"/>
                <w:lang w:val="lv-LV"/>
              </w:rPr>
            </w:pPr>
            <w:r>
              <w:rPr>
                <w:sz w:val="22"/>
                <w:szCs w:val="22"/>
                <w:lang w:val="lv-LV"/>
              </w:rPr>
              <w:t>Valdes loceklis   ______________________</w:t>
            </w:r>
          </w:p>
          <w:p w:rsidR="00471CC9" w:rsidRPr="002C118D" w:rsidRDefault="00471CC9" w:rsidP="00AF0190">
            <w:pPr>
              <w:widowControl w:val="0"/>
              <w:autoSpaceDE w:val="0"/>
              <w:autoSpaceDN w:val="0"/>
              <w:adjustRightInd w:val="0"/>
              <w:jc w:val="both"/>
              <w:rPr>
                <w:sz w:val="22"/>
                <w:szCs w:val="22"/>
                <w:lang w:val="lv-LV"/>
              </w:rPr>
            </w:pPr>
          </w:p>
        </w:tc>
      </w:tr>
      <w:tr w:rsidR="00471CC9" w:rsidRPr="002C118D" w:rsidTr="00C46700">
        <w:tc>
          <w:tcPr>
            <w:tcW w:w="4643"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z.v.</w:t>
            </w:r>
          </w:p>
        </w:tc>
        <w:tc>
          <w:tcPr>
            <w:tcW w:w="4644" w:type="dxa"/>
            <w:hideMark/>
          </w:tcPr>
          <w:p w:rsidR="00471CC9" w:rsidRPr="002C118D" w:rsidRDefault="00471CC9" w:rsidP="00621172">
            <w:pPr>
              <w:widowControl w:val="0"/>
              <w:autoSpaceDE w:val="0"/>
              <w:autoSpaceDN w:val="0"/>
              <w:adjustRightInd w:val="0"/>
              <w:jc w:val="both"/>
              <w:rPr>
                <w:sz w:val="22"/>
                <w:szCs w:val="22"/>
                <w:lang w:val="lv-LV"/>
              </w:rPr>
            </w:pPr>
            <w:r w:rsidRPr="002C118D">
              <w:rPr>
                <w:sz w:val="22"/>
                <w:szCs w:val="22"/>
                <w:lang w:val="lv-LV"/>
              </w:rPr>
              <w:t>z.v.</w:t>
            </w:r>
          </w:p>
        </w:tc>
      </w:tr>
    </w:tbl>
    <w:p w:rsidR="00471CC9" w:rsidRPr="002C118D" w:rsidRDefault="00471CC9" w:rsidP="00471CC9">
      <w:pPr>
        <w:widowControl w:val="0"/>
        <w:autoSpaceDE w:val="0"/>
        <w:autoSpaceDN w:val="0"/>
        <w:adjustRightInd w:val="0"/>
        <w:jc w:val="both"/>
        <w:rPr>
          <w:b/>
          <w:sz w:val="22"/>
          <w:szCs w:val="22"/>
          <w:lang w:val="lv-LV"/>
        </w:rPr>
      </w:pPr>
    </w:p>
    <w:p w:rsidR="00471CC9" w:rsidRPr="002C118D" w:rsidRDefault="00471CC9" w:rsidP="00471CC9">
      <w:pPr>
        <w:widowControl w:val="0"/>
        <w:autoSpaceDE w:val="0"/>
        <w:autoSpaceDN w:val="0"/>
        <w:adjustRightInd w:val="0"/>
        <w:ind w:left="720"/>
        <w:jc w:val="both"/>
        <w:rPr>
          <w:sz w:val="22"/>
          <w:szCs w:val="22"/>
          <w:lang w:val="lv-LV"/>
        </w:rPr>
      </w:pPr>
      <w:r w:rsidRPr="002C118D">
        <w:rPr>
          <w:sz w:val="22"/>
          <w:szCs w:val="22"/>
          <w:lang w:val="lv-LV"/>
        </w:rPr>
        <w:t xml:space="preserve"> </w:t>
      </w:r>
    </w:p>
    <w:p w:rsidR="00471CC9" w:rsidRPr="002C118D" w:rsidRDefault="00471CC9" w:rsidP="00471CC9">
      <w:pPr>
        <w:jc w:val="both"/>
        <w:rPr>
          <w:lang w:val="lv-LV"/>
        </w:rPr>
      </w:pPr>
    </w:p>
    <w:p w:rsidR="00471CC9" w:rsidRPr="002C118D" w:rsidRDefault="00471CC9" w:rsidP="00471CC9">
      <w:pPr>
        <w:rPr>
          <w:lang w:val="lv-LV"/>
        </w:rPr>
      </w:pPr>
    </w:p>
    <w:p w:rsidR="00423539" w:rsidRDefault="00423539"/>
    <w:sectPr w:rsidR="00423539" w:rsidSect="00471CC9">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284" w:rsidRDefault="00CE1284" w:rsidP="00BB51BA">
      <w:r>
        <w:separator/>
      </w:r>
    </w:p>
  </w:endnote>
  <w:endnote w:type="continuationSeparator" w:id="1">
    <w:p w:rsidR="00CE1284" w:rsidRDefault="00CE1284" w:rsidP="00BB5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7E" w:rsidRDefault="00BB51BA">
    <w:pPr>
      <w:pStyle w:val="Footer"/>
      <w:jc w:val="center"/>
    </w:pPr>
    <w:r>
      <w:fldChar w:fldCharType="begin"/>
    </w:r>
    <w:r w:rsidR="00C46700">
      <w:instrText xml:space="preserve"> PAGE   \* MERGEFORMAT </w:instrText>
    </w:r>
    <w:r>
      <w:fldChar w:fldCharType="separate"/>
    </w:r>
    <w:r w:rsidR="00AF0190">
      <w:rPr>
        <w:noProof/>
      </w:rPr>
      <w:t>2</w:t>
    </w:r>
    <w:r>
      <w:fldChar w:fldCharType="end"/>
    </w:r>
  </w:p>
  <w:p w:rsidR="001B377E" w:rsidRDefault="00CE1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284" w:rsidRDefault="00CE1284" w:rsidP="00BB51BA">
      <w:r>
        <w:separator/>
      </w:r>
    </w:p>
  </w:footnote>
  <w:footnote w:type="continuationSeparator" w:id="1">
    <w:p w:rsidR="00CE1284" w:rsidRDefault="00CE1284" w:rsidP="00BB5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2688792E"/>
    <w:lvl w:ilvl="0">
      <w:start w:val="1"/>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1CC9"/>
    <w:rsid w:val="00423539"/>
    <w:rsid w:val="00471CC9"/>
    <w:rsid w:val="00AF0190"/>
    <w:rsid w:val="00BB51BA"/>
    <w:rsid w:val="00C46700"/>
    <w:rsid w:val="00CE1284"/>
    <w:rsid w:val="00E920FA"/>
    <w:rsid w:val="00F9149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C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1CC9"/>
    <w:pPr>
      <w:widowControl w:val="0"/>
      <w:tabs>
        <w:tab w:val="center" w:pos="4153"/>
        <w:tab w:val="right" w:pos="8306"/>
      </w:tabs>
    </w:pPr>
    <w:rPr>
      <w:sz w:val="24"/>
      <w:szCs w:val="24"/>
      <w:lang w:val="en-GB"/>
    </w:rPr>
  </w:style>
  <w:style w:type="character" w:customStyle="1" w:styleId="FooterChar">
    <w:name w:val="Footer Char"/>
    <w:basedOn w:val="DefaultParagraphFont"/>
    <w:link w:val="Footer"/>
    <w:uiPriority w:val="99"/>
    <w:rsid w:val="00471CC9"/>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471CC9"/>
    <w:pPr>
      <w:spacing w:after="120" w:line="480" w:lineRule="auto"/>
      <w:ind w:left="283"/>
    </w:pPr>
  </w:style>
  <w:style w:type="character" w:customStyle="1" w:styleId="BodyTextIndent2Char">
    <w:name w:val="Body Text Indent 2 Char"/>
    <w:basedOn w:val="DefaultParagraphFont"/>
    <w:link w:val="BodyTextIndent2"/>
    <w:uiPriority w:val="99"/>
    <w:semiHidden/>
    <w:rsid w:val="00471CC9"/>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7670</Words>
  <Characters>4372</Characters>
  <Application>Microsoft Office Word</Application>
  <DocSecurity>0</DocSecurity>
  <Lines>36</Lines>
  <Paragraphs>24</Paragraphs>
  <ScaleCrop>false</ScaleCrop>
  <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2014-07-02T06:45:00Z</dcterms:created>
  <dcterms:modified xsi:type="dcterms:W3CDTF">2014-07-02T06:45:00Z</dcterms:modified>
</cp:coreProperties>
</file>